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1D0A" w14:textId="77777777" w:rsidR="00710A82" w:rsidRDefault="002B1994">
      <w:pPr>
        <w:spacing w:after="160" w:line="256" w:lineRule="auto"/>
        <w:rPr>
          <w:rFonts w:ascii="Calibri" w:eastAsia="Calibri" w:hAnsi="Calibri" w:cs="Calibri"/>
        </w:rPr>
      </w:pPr>
      <w:r>
        <w:rPr>
          <w:rFonts w:ascii="Calibri" w:eastAsia="Calibri" w:hAnsi="Calibri" w:cs="Calibri"/>
        </w:rPr>
        <w:t xml:space="preserve"> </w:t>
      </w:r>
    </w:p>
    <w:tbl>
      <w:tblPr>
        <w:tblStyle w:val="a"/>
        <w:tblW w:w="9015" w:type="dxa"/>
        <w:tblBorders>
          <w:top w:val="nil"/>
          <w:left w:val="nil"/>
          <w:bottom w:val="nil"/>
          <w:right w:val="nil"/>
          <w:insideH w:val="nil"/>
          <w:insideV w:val="nil"/>
        </w:tblBorders>
        <w:tblLayout w:type="fixed"/>
        <w:tblLook w:val="0600" w:firstRow="0" w:lastRow="0" w:firstColumn="0" w:lastColumn="0" w:noHBand="1" w:noVBand="1"/>
      </w:tblPr>
      <w:tblGrid>
        <w:gridCol w:w="2175"/>
        <w:gridCol w:w="6840"/>
      </w:tblGrid>
      <w:tr w:rsidR="00710A82" w14:paraId="42CD50EF" w14:textId="77777777">
        <w:trPr>
          <w:trHeight w:val="605"/>
        </w:trPr>
        <w:tc>
          <w:tcPr>
            <w:tcW w:w="9015" w:type="dxa"/>
            <w:gridSpan w:val="2"/>
            <w:tcBorders>
              <w:top w:val="single" w:sz="8" w:space="0" w:color="000000"/>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14:paraId="3C55CE04" w14:textId="77777777" w:rsidR="00710A82" w:rsidRDefault="002B1994">
            <w:pPr>
              <w:spacing w:after="120"/>
              <w:ind w:left="100"/>
              <w:jc w:val="center"/>
              <w:rPr>
                <w:rFonts w:ascii="Calibri" w:eastAsia="Calibri" w:hAnsi="Calibri" w:cs="Calibri"/>
                <w:b/>
              </w:rPr>
            </w:pPr>
            <w:r>
              <w:rPr>
                <w:rFonts w:ascii="Calibri" w:eastAsia="Calibri" w:hAnsi="Calibri" w:cs="Calibri"/>
                <w:b/>
              </w:rPr>
              <w:t xml:space="preserve">INNOVATIVE PRACTICE  </w:t>
            </w:r>
          </w:p>
        </w:tc>
      </w:tr>
      <w:tr w:rsidR="00710A82" w14:paraId="3D6021B7" w14:textId="77777777">
        <w:trPr>
          <w:trHeight w:val="1130"/>
        </w:trPr>
        <w:tc>
          <w:tcPr>
            <w:tcW w:w="9015" w:type="dxa"/>
            <w:gridSpan w:val="2"/>
            <w:tcBorders>
              <w:top w:val="nil"/>
              <w:left w:val="single" w:sz="8" w:space="0" w:color="000000"/>
              <w:bottom w:val="single" w:sz="8" w:space="0" w:color="000000"/>
              <w:right w:val="single" w:sz="8" w:space="0" w:color="000000"/>
            </w:tcBorders>
            <w:shd w:val="clear" w:color="auto" w:fill="FFD966"/>
            <w:tcMar>
              <w:top w:w="100" w:type="dxa"/>
              <w:left w:w="100" w:type="dxa"/>
              <w:bottom w:w="100" w:type="dxa"/>
              <w:right w:w="100" w:type="dxa"/>
            </w:tcMar>
          </w:tcPr>
          <w:p w14:paraId="59A6C6BA" w14:textId="77777777" w:rsidR="00710A82" w:rsidRDefault="002B1994">
            <w:pPr>
              <w:ind w:left="100"/>
              <w:jc w:val="center"/>
              <w:rPr>
                <w:rFonts w:ascii="Calibri" w:eastAsia="Calibri" w:hAnsi="Calibri" w:cs="Calibri"/>
              </w:rPr>
            </w:pPr>
            <w:r>
              <w:rPr>
                <w:rFonts w:ascii="Calibri" w:eastAsia="Calibri" w:hAnsi="Calibri" w:cs="Calibri"/>
              </w:rPr>
              <w:t>Event Code: LEE22-00523</w:t>
            </w:r>
          </w:p>
          <w:p w14:paraId="6E22A89B" w14:textId="77777777" w:rsidR="00710A82" w:rsidRDefault="002B1994">
            <w:pPr>
              <w:ind w:left="100"/>
              <w:jc w:val="center"/>
              <w:rPr>
                <w:rFonts w:ascii="Calibri" w:eastAsia="Calibri" w:hAnsi="Calibri" w:cs="Calibri"/>
              </w:rPr>
            </w:pPr>
            <w:r>
              <w:rPr>
                <w:rFonts w:ascii="Calibri" w:eastAsia="Calibri" w:hAnsi="Calibri" w:cs="Calibri"/>
              </w:rPr>
              <w:t>World Mental Health Congress London Mental Health a Global Priority, London, UK</w:t>
            </w:r>
          </w:p>
          <w:p w14:paraId="42AB36BF" w14:textId="77777777" w:rsidR="00710A82" w:rsidRDefault="002B1994">
            <w:pPr>
              <w:spacing w:after="120"/>
              <w:ind w:left="100"/>
              <w:jc w:val="center"/>
              <w:rPr>
                <w:rFonts w:ascii="Calibri" w:eastAsia="Calibri" w:hAnsi="Calibri" w:cs="Calibri"/>
              </w:rPr>
            </w:pPr>
            <w:r>
              <w:rPr>
                <w:rFonts w:ascii="Calibri" w:eastAsia="Calibri" w:hAnsi="Calibri" w:cs="Calibri"/>
              </w:rPr>
              <w:t>28/06/2022-01/07/2022</w:t>
            </w:r>
          </w:p>
        </w:tc>
      </w:tr>
      <w:tr w:rsidR="00710A82" w14:paraId="795562B5" w14:textId="77777777">
        <w:trPr>
          <w:trHeight w:val="845"/>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FA4BA3" w14:textId="77777777" w:rsidR="00710A82" w:rsidRDefault="002B1994">
            <w:pPr>
              <w:ind w:left="100"/>
              <w:rPr>
                <w:rFonts w:ascii="Calibri" w:eastAsia="Calibri" w:hAnsi="Calibri" w:cs="Calibri"/>
                <w:b/>
              </w:rPr>
            </w:pPr>
            <w:r>
              <w:rPr>
                <w:rFonts w:ascii="Calibri" w:eastAsia="Calibri" w:hAnsi="Calibri" w:cs="Calibri"/>
                <w:b/>
              </w:rPr>
              <w:t>Your details</w:t>
            </w:r>
          </w:p>
          <w:p w14:paraId="3C34841B" w14:textId="77777777" w:rsidR="00710A82" w:rsidRDefault="002B1994">
            <w:pPr>
              <w:ind w:left="100"/>
              <w:rPr>
                <w:rFonts w:ascii="Calibri" w:eastAsia="Calibri" w:hAnsi="Calibri" w:cs="Calibri"/>
                <w:sz w:val="16"/>
                <w:szCs w:val="16"/>
              </w:rPr>
            </w:pPr>
            <w:r>
              <w:rPr>
                <w:rFonts w:ascii="Calibri" w:eastAsia="Calibri" w:hAnsi="Calibri" w:cs="Calibri"/>
                <w:sz w:val="16"/>
                <w:szCs w:val="16"/>
              </w:rPr>
              <w:t>(</w:t>
            </w:r>
            <w:proofErr w:type="gramStart"/>
            <w:r>
              <w:rPr>
                <w:rFonts w:ascii="Calibri" w:eastAsia="Calibri" w:hAnsi="Calibri" w:cs="Calibri"/>
                <w:sz w:val="16"/>
                <w:szCs w:val="16"/>
              </w:rPr>
              <w:t>as</w:t>
            </w:r>
            <w:proofErr w:type="gramEnd"/>
            <w:r>
              <w:rPr>
                <w:rFonts w:ascii="Calibri" w:eastAsia="Calibri" w:hAnsi="Calibri" w:cs="Calibri"/>
                <w:sz w:val="16"/>
                <w:szCs w:val="16"/>
              </w:rPr>
              <w:t xml:space="preserve"> you want them listed in the </w:t>
            </w:r>
            <w:proofErr w:type="spellStart"/>
            <w:r>
              <w:rPr>
                <w:rFonts w:ascii="Calibri" w:eastAsia="Calibri" w:hAnsi="Calibri" w:cs="Calibri"/>
                <w:sz w:val="16"/>
                <w:szCs w:val="16"/>
              </w:rPr>
              <w:t>programme</w:t>
            </w:r>
            <w:proofErr w:type="spellEnd"/>
            <w:r>
              <w:rPr>
                <w:rFonts w:ascii="Calibri" w:eastAsia="Calibri" w:hAnsi="Calibri" w:cs="Calibri"/>
                <w:sz w:val="16"/>
                <w:szCs w:val="16"/>
              </w:rPr>
              <w:t>)</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BCDC1F" w14:textId="77777777" w:rsidR="00710A82" w:rsidRDefault="002B1994">
            <w:pPr>
              <w:ind w:left="100"/>
              <w:rPr>
                <w:rFonts w:ascii="Calibri" w:eastAsia="Calibri" w:hAnsi="Calibri" w:cs="Calibri"/>
              </w:rPr>
            </w:pPr>
            <w:r>
              <w:rPr>
                <w:rFonts w:ascii="Calibri" w:eastAsia="Calibri" w:hAnsi="Calibri" w:cs="Calibri"/>
              </w:rPr>
              <w:t xml:space="preserve">Kathryn </w:t>
            </w:r>
            <w:proofErr w:type="spellStart"/>
            <w:r>
              <w:rPr>
                <w:rFonts w:ascii="Calibri" w:eastAsia="Calibri" w:hAnsi="Calibri" w:cs="Calibri"/>
              </w:rPr>
              <w:t>Goetzke</w:t>
            </w:r>
            <w:proofErr w:type="spellEnd"/>
          </w:p>
        </w:tc>
      </w:tr>
      <w:tr w:rsidR="00710A82" w14:paraId="6396CF60" w14:textId="77777777">
        <w:trPr>
          <w:trHeight w:val="1010"/>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5BB8A49A" w14:textId="77777777" w:rsidR="00710A82" w:rsidRDefault="002B1994">
            <w:pPr>
              <w:ind w:left="100"/>
              <w:rPr>
                <w:rFonts w:ascii="Calibri" w:eastAsia="Calibri" w:hAnsi="Calibri" w:cs="Calibri"/>
                <w:b/>
              </w:rPr>
            </w:pPr>
            <w:r>
              <w:rPr>
                <w:rFonts w:ascii="Calibri" w:eastAsia="Calibri" w:hAnsi="Calibri" w:cs="Calibri"/>
                <w:b/>
              </w:rPr>
              <w:t>Date and time of your innovative practice session</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8F82AF" w14:textId="77777777" w:rsidR="00710A82" w:rsidRDefault="002B1994">
            <w:pPr>
              <w:ind w:left="100"/>
              <w:rPr>
                <w:rFonts w:ascii="Calibri" w:eastAsia="Calibri" w:hAnsi="Calibri" w:cs="Calibri"/>
              </w:rPr>
            </w:pPr>
            <w:r>
              <w:rPr>
                <w:rFonts w:ascii="Calibri" w:eastAsia="Calibri" w:hAnsi="Calibri" w:cs="Calibri"/>
              </w:rPr>
              <w:t>Wednesday 29 June 2022</w:t>
            </w:r>
          </w:p>
          <w:p w14:paraId="7D954C23" w14:textId="77777777" w:rsidR="00710A82" w:rsidRDefault="002B1994">
            <w:pPr>
              <w:ind w:left="100"/>
              <w:rPr>
                <w:rFonts w:ascii="Calibri" w:eastAsia="Calibri" w:hAnsi="Calibri" w:cs="Calibri"/>
              </w:rPr>
            </w:pPr>
            <w:r>
              <w:rPr>
                <w:rFonts w:ascii="Calibri" w:eastAsia="Calibri" w:hAnsi="Calibri" w:cs="Calibri"/>
              </w:rPr>
              <w:t>14:00-14:30hrs</w:t>
            </w:r>
          </w:p>
        </w:tc>
      </w:tr>
      <w:tr w:rsidR="00710A82" w14:paraId="093644DC" w14:textId="77777777">
        <w:trPr>
          <w:trHeight w:val="485"/>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2B9E8F09" w14:textId="77777777" w:rsidR="00710A82" w:rsidRDefault="002B1994">
            <w:pPr>
              <w:ind w:left="100"/>
              <w:rPr>
                <w:rFonts w:ascii="Calibri" w:eastAsia="Calibri" w:hAnsi="Calibri" w:cs="Calibri"/>
                <w:b/>
              </w:rPr>
            </w:pPr>
            <w:r>
              <w:rPr>
                <w:rFonts w:ascii="Calibri" w:eastAsia="Calibri" w:hAnsi="Calibri" w:cs="Calibri"/>
                <w:b/>
              </w:rPr>
              <w:t>Duration</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E21B17" w14:textId="77777777" w:rsidR="00710A82" w:rsidRDefault="002B1994">
            <w:pPr>
              <w:ind w:left="100"/>
              <w:rPr>
                <w:rFonts w:ascii="Calibri" w:eastAsia="Calibri" w:hAnsi="Calibri" w:cs="Calibri"/>
              </w:rPr>
            </w:pPr>
            <w:r>
              <w:rPr>
                <w:rFonts w:ascii="Calibri" w:eastAsia="Calibri" w:hAnsi="Calibri" w:cs="Calibri"/>
              </w:rPr>
              <w:t>30 mins workshop</w:t>
            </w:r>
          </w:p>
        </w:tc>
      </w:tr>
      <w:tr w:rsidR="00710A82" w14:paraId="0251C8E4" w14:textId="77777777">
        <w:trPr>
          <w:trHeight w:val="755"/>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01FC5702" w14:textId="77777777" w:rsidR="00710A82" w:rsidRDefault="002B1994">
            <w:pPr>
              <w:ind w:left="100"/>
              <w:rPr>
                <w:rFonts w:ascii="Calibri" w:eastAsia="Calibri" w:hAnsi="Calibri" w:cs="Calibri"/>
                <w:b/>
              </w:rPr>
            </w:pPr>
            <w:r>
              <w:rPr>
                <w:rFonts w:ascii="Calibri" w:eastAsia="Calibri" w:hAnsi="Calibri" w:cs="Calibri"/>
                <w:b/>
              </w:rPr>
              <w:t>Proposed title</w:t>
            </w:r>
          </w:p>
          <w:p w14:paraId="48A2AC36" w14:textId="77777777" w:rsidR="00710A82" w:rsidRDefault="002B1994">
            <w:pPr>
              <w:ind w:left="100"/>
              <w:rPr>
                <w:rFonts w:ascii="Calibri" w:eastAsia="Calibri" w:hAnsi="Calibri" w:cs="Calibri"/>
                <w:sz w:val="16"/>
                <w:szCs w:val="16"/>
              </w:rPr>
            </w:pPr>
            <w:r>
              <w:rPr>
                <w:rFonts w:ascii="Calibri" w:eastAsia="Calibri" w:hAnsi="Calibri" w:cs="Calibri"/>
                <w:sz w:val="16"/>
                <w:szCs w:val="16"/>
              </w:rPr>
              <w:t>(</w:t>
            </w:r>
            <w:proofErr w:type="gramStart"/>
            <w:r>
              <w:rPr>
                <w:rFonts w:ascii="Calibri" w:eastAsia="Calibri" w:hAnsi="Calibri" w:cs="Calibri"/>
                <w:sz w:val="16"/>
                <w:szCs w:val="16"/>
              </w:rPr>
              <w:t>please</w:t>
            </w:r>
            <w:proofErr w:type="gramEnd"/>
            <w:r>
              <w:rPr>
                <w:rFonts w:ascii="Calibri" w:eastAsia="Calibri" w:hAnsi="Calibri" w:cs="Calibri"/>
                <w:sz w:val="16"/>
                <w:szCs w:val="16"/>
              </w:rPr>
              <w:t xml:space="preserve"> complete)</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56E36" w14:textId="77777777" w:rsidR="00710A82" w:rsidRDefault="002B1994">
            <w:pPr>
              <w:ind w:left="100"/>
              <w:rPr>
                <w:rFonts w:ascii="Calibri" w:eastAsia="Calibri" w:hAnsi="Calibri" w:cs="Calibri"/>
              </w:rPr>
            </w:pPr>
            <w:r>
              <w:rPr>
                <w:rFonts w:ascii="Calibri" w:eastAsia="Calibri" w:hAnsi="Calibri" w:cs="Calibri"/>
              </w:rPr>
              <w:t>Innovative practice stigma</w:t>
            </w:r>
            <w:r>
              <w:rPr>
                <w:rFonts w:ascii="Calibri" w:eastAsia="Calibri" w:hAnsi="Calibri" w:cs="Calibri"/>
              </w:rPr>
              <w:t>; Utilizing a whole city approach to Activating Hope through Hopeful Cities</w:t>
            </w:r>
          </w:p>
        </w:tc>
      </w:tr>
      <w:tr w:rsidR="00710A82" w14:paraId="391CA1E7" w14:textId="77777777">
        <w:trPr>
          <w:trHeight w:val="2375"/>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69479F2" w14:textId="77777777" w:rsidR="00710A82" w:rsidRDefault="002B1994">
            <w:pPr>
              <w:ind w:left="100"/>
              <w:rPr>
                <w:rFonts w:ascii="Calibri" w:eastAsia="Calibri" w:hAnsi="Calibri" w:cs="Calibri"/>
                <w:b/>
              </w:rPr>
            </w:pPr>
            <w:r>
              <w:rPr>
                <w:rFonts w:ascii="Calibri" w:eastAsia="Calibri" w:hAnsi="Calibri" w:cs="Calibri"/>
                <w:b/>
              </w:rPr>
              <w:t>Learning Objectives</w:t>
            </w:r>
          </w:p>
          <w:p w14:paraId="5916E559" w14:textId="77777777" w:rsidR="00710A82" w:rsidRDefault="002B1994">
            <w:pPr>
              <w:ind w:left="100"/>
              <w:rPr>
                <w:rFonts w:ascii="Calibri" w:eastAsia="Calibri" w:hAnsi="Calibri" w:cs="Calibri"/>
                <w:sz w:val="16"/>
                <w:szCs w:val="16"/>
              </w:rPr>
            </w:pPr>
            <w:r>
              <w:rPr>
                <w:rFonts w:ascii="Calibri" w:eastAsia="Calibri" w:hAnsi="Calibri" w:cs="Calibri"/>
                <w:sz w:val="16"/>
                <w:szCs w:val="16"/>
              </w:rPr>
              <w:t>(</w:t>
            </w:r>
            <w:proofErr w:type="gramStart"/>
            <w:r>
              <w:rPr>
                <w:rFonts w:ascii="Calibri" w:eastAsia="Calibri" w:hAnsi="Calibri" w:cs="Calibri"/>
                <w:sz w:val="16"/>
                <w:szCs w:val="16"/>
              </w:rPr>
              <w:t>please</w:t>
            </w:r>
            <w:proofErr w:type="gramEnd"/>
            <w:r>
              <w:rPr>
                <w:rFonts w:ascii="Calibri" w:eastAsia="Calibri" w:hAnsi="Calibri" w:cs="Calibri"/>
                <w:sz w:val="16"/>
                <w:szCs w:val="16"/>
              </w:rPr>
              <w:t xml:space="preserve"> complete)</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696D28" w14:textId="77777777" w:rsidR="00710A82" w:rsidRDefault="002B1994">
            <w:pPr>
              <w:numPr>
                <w:ilvl w:val="0"/>
                <w:numId w:val="1"/>
              </w:numPr>
              <w:rPr>
                <w:rFonts w:ascii="Calibri" w:eastAsia="Calibri" w:hAnsi="Calibri" w:cs="Calibri"/>
              </w:rPr>
            </w:pPr>
            <w:r>
              <w:rPr>
                <w:rFonts w:ascii="Calibri" w:eastAsia="Calibri" w:hAnsi="Calibri" w:cs="Calibri"/>
              </w:rPr>
              <w:t>Understand the impact of hopelessness on individuals and communities, and how branding impacts stigma.</w:t>
            </w:r>
          </w:p>
          <w:p w14:paraId="0D8D91F8" w14:textId="77777777" w:rsidR="00710A82" w:rsidRDefault="002B1994">
            <w:pPr>
              <w:numPr>
                <w:ilvl w:val="0"/>
                <w:numId w:val="1"/>
              </w:numPr>
              <w:rPr>
                <w:rFonts w:ascii="Calibri" w:eastAsia="Calibri" w:hAnsi="Calibri" w:cs="Calibri"/>
              </w:rPr>
            </w:pPr>
            <w:r>
              <w:rPr>
                <w:rFonts w:ascii="Calibri" w:eastAsia="Calibri" w:hAnsi="Calibri" w:cs="Calibri"/>
              </w:rPr>
              <w:t>Learn about the importance of hope, how it relates to mental health, and the resources available to teach it.</w:t>
            </w:r>
          </w:p>
          <w:p w14:paraId="0B2582EE" w14:textId="77777777" w:rsidR="00710A82" w:rsidRDefault="002B1994">
            <w:pPr>
              <w:numPr>
                <w:ilvl w:val="0"/>
                <w:numId w:val="1"/>
              </w:numPr>
              <w:rPr>
                <w:rFonts w:ascii="Calibri" w:eastAsia="Calibri" w:hAnsi="Calibri" w:cs="Calibri"/>
              </w:rPr>
            </w:pPr>
            <w:r>
              <w:rPr>
                <w:rFonts w:ascii="Calibri" w:eastAsia="Calibri" w:hAnsi="Calibri" w:cs="Calibri"/>
              </w:rPr>
              <w:t>Know how to engage education systems, workp</w:t>
            </w:r>
            <w:r>
              <w:rPr>
                <w:rFonts w:ascii="Calibri" w:eastAsia="Calibri" w:hAnsi="Calibri" w:cs="Calibri"/>
              </w:rPr>
              <w:t>laces, governments, arts, and community members to activate hope citywide. Discover how to create a Global Movement for Hope and understand why it is important for eradicating stigma.</w:t>
            </w:r>
          </w:p>
        </w:tc>
      </w:tr>
      <w:tr w:rsidR="00710A82" w14:paraId="1C88B33A" w14:textId="77777777">
        <w:trPr>
          <w:trHeight w:val="4160"/>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1A7BF2A9" w14:textId="77777777" w:rsidR="00710A82" w:rsidRDefault="002B1994">
            <w:pPr>
              <w:ind w:left="100"/>
              <w:rPr>
                <w:rFonts w:ascii="Calibri" w:eastAsia="Calibri" w:hAnsi="Calibri" w:cs="Calibri"/>
                <w:b/>
              </w:rPr>
            </w:pPr>
            <w:r>
              <w:rPr>
                <w:rFonts w:ascii="Calibri" w:eastAsia="Calibri" w:hAnsi="Calibri" w:cs="Calibri"/>
                <w:b/>
              </w:rPr>
              <w:lastRenderedPageBreak/>
              <w:t>Abstract</w:t>
            </w:r>
          </w:p>
          <w:p w14:paraId="20190BC6" w14:textId="77777777" w:rsidR="00710A82" w:rsidRDefault="002B1994">
            <w:pPr>
              <w:ind w:left="100"/>
              <w:rPr>
                <w:rFonts w:ascii="Calibri" w:eastAsia="Calibri" w:hAnsi="Calibri" w:cs="Calibri"/>
                <w:sz w:val="16"/>
                <w:szCs w:val="16"/>
              </w:rPr>
            </w:pPr>
            <w:r>
              <w:rPr>
                <w:rFonts w:ascii="Calibri" w:eastAsia="Calibri" w:hAnsi="Calibri" w:cs="Calibri"/>
                <w:sz w:val="16"/>
                <w:szCs w:val="16"/>
              </w:rPr>
              <w:t>(</w:t>
            </w:r>
            <w:proofErr w:type="gramStart"/>
            <w:r>
              <w:rPr>
                <w:rFonts w:ascii="Calibri" w:eastAsia="Calibri" w:hAnsi="Calibri" w:cs="Calibri"/>
                <w:sz w:val="16"/>
                <w:szCs w:val="16"/>
              </w:rPr>
              <w:t>max</w:t>
            </w:r>
            <w:proofErr w:type="gramEnd"/>
            <w:r>
              <w:rPr>
                <w:rFonts w:ascii="Calibri" w:eastAsia="Calibri" w:hAnsi="Calibri" w:cs="Calibri"/>
                <w:sz w:val="16"/>
                <w:szCs w:val="16"/>
              </w:rPr>
              <w:t xml:space="preserve"> 500 words)</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E55E41" w14:textId="77777777" w:rsidR="00710A82" w:rsidRDefault="002B1994">
            <w:pPr>
              <w:ind w:left="100"/>
              <w:rPr>
                <w:rFonts w:ascii="Calibri" w:eastAsia="Calibri" w:hAnsi="Calibri" w:cs="Calibri"/>
              </w:rPr>
            </w:pPr>
            <w:r>
              <w:rPr>
                <w:rFonts w:ascii="Calibri" w:eastAsia="Calibri" w:hAnsi="Calibri" w:cs="Calibri"/>
              </w:rPr>
              <w:t>Hopelessness is predictive of weapon-carrying on school property, addiction, violence, self-harm, and suicide. It is also a key symptom of anxiety and depression. A recent CDC publication in the United States indicated more than 1 in 3 high school students</w:t>
            </w:r>
            <w:r>
              <w:rPr>
                <w:rFonts w:ascii="Calibri" w:eastAsia="Calibri" w:hAnsi="Calibri" w:cs="Calibri"/>
              </w:rPr>
              <w:t xml:space="preserve"> experience persistent feelings of sadness and hopelessness, almost half of female students, and nearly 70% with same-sex partners. In this same report, 1 in 6 high school students reported making a suicide plan in the past year, a 44% increase since 2009.</w:t>
            </w:r>
          </w:p>
          <w:p w14:paraId="295DCDB7" w14:textId="77777777" w:rsidR="00710A82" w:rsidRDefault="00710A82">
            <w:pPr>
              <w:ind w:left="100"/>
              <w:rPr>
                <w:rFonts w:ascii="Calibri" w:eastAsia="Calibri" w:hAnsi="Calibri" w:cs="Calibri"/>
              </w:rPr>
            </w:pPr>
          </w:p>
          <w:p w14:paraId="0EA9A0C1" w14:textId="77777777" w:rsidR="00710A82" w:rsidRDefault="002B1994">
            <w:pPr>
              <w:ind w:left="100"/>
              <w:rPr>
                <w:rFonts w:ascii="Calibri" w:eastAsia="Calibri" w:hAnsi="Calibri" w:cs="Calibri"/>
              </w:rPr>
            </w:pPr>
            <w:r>
              <w:rPr>
                <w:rFonts w:ascii="Calibri" w:eastAsia="Calibri" w:hAnsi="Calibri" w:cs="Calibri"/>
              </w:rPr>
              <w:t>Despite the quantifiable rise in hopelessness, we are never taught what hopelessness is or how to proactively manage it. Hopeful Minds and Hopeful Cities are working to ensure that every person knows what hopelessness is, how to proactively manage it, an</w:t>
            </w:r>
            <w:r>
              <w:rPr>
                <w:rFonts w:ascii="Calibri" w:eastAsia="Calibri" w:hAnsi="Calibri" w:cs="Calibri"/>
              </w:rPr>
              <w:t>d what they can do to activate their communities on the Science of Hope. We created a free Hopeful Cities Playbook and aim to provide examples of how we are activating hope in Reno, NV.</w:t>
            </w:r>
          </w:p>
        </w:tc>
      </w:tr>
      <w:tr w:rsidR="00710A82" w14:paraId="379F29B8" w14:textId="77777777">
        <w:trPr>
          <w:trHeight w:val="5105"/>
        </w:trPr>
        <w:tc>
          <w:tcPr>
            <w:tcW w:w="2175" w:type="dxa"/>
            <w:tcBorders>
              <w:top w:val="nil"/>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tcPr>
          <w:p w14:paraId="43508ADE" w14:textId="77777777" w:rsidR="00710A82" w:rsidRDefault="002B1994">
            <w:pPr>
              <w:ind w:left="100"/>
              <w:rPr>
                <w:rFonts w:ascii="Calibri" w:eastAsia="Calibri" w:hAnsi="Calibri" w:cs="Calibri"/>
                <w:b/>
              </w:rPr>
            </w:pPr>
            <w:r>
              <w:rPr>
                <w:rFonts w:ascii="Calibri" w:eastAsia="Calibri" w:hAnsi="Calibri" w:cs="Calibri"/>
                <w:b/>
              </w:rPr>
              <w:t>Key references or resources</w:t>
            </w:r>
          </w:p>
          <w:p w14:paraId="03EC357A" w14:textId="77777777" w:rsidR="00710A82" w:rsidRDefault="002B1994">
            <w:pPr>
              <w:ind w:left="100"/>
              <w:rPr>
                <w:rFonts w:ascii="Calibri" w:eastAsia="Calibri" w:hAnsi="Calibri" w:cs="Calibri"/>
                <w:sz w:val="16"/>
                <w:szCs w:val="16"/>
              </w:rPr>
            </w:pPr>
            <w:r>
              <w:rPr>
                <w:rFonts w:ascii="Calibri" w:eastAsia="Calibri" w:hAnsi="Calibri" w:cs="Calibri"/>
                <w:sz w:val="16"/>
                <w:szCs w:val="16"/>
              </w:rPr>
              <w:t>(</w:t>
            </w:r>
            <w:proofErr w:type="gramStart"/>
            <w:r>
              <w:rPr>
                <w:rFonts w:ascii="Calibri" w:eastAsia="Calibri" w:hAnsi="Calibri" w:cs="Calibri"/>
                <w:sz w:val="16"/>
                <w:szCs w:val="16"/>
              </w:rPr>
              <w:t>maximum</w:t>
            </w:r>
            <w:proofErr w:type="gramEnd"/>
            <w:r>
              <w:rPr>
                <w:rFonts w:ascii="Calibri" w:eastAsia="Calibri" w:hAnsi="Calibri" w:cs="Calibri"/>
                <w:sz w:val="16"/>
                <w:szCs w:val="16"/>
              </w:rPr>
              <w:t xml:space="preserve"> five)</w:t>
            </w:r>
          </w:p>
        </w:tc>
        <w:tc>
          <w:tcPr>
            <w:tcW w:w="68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CC4018" w14:textId="77777777" w:rsidR="00710A82" w:rsidRDefault="002B1994">
            <w:pPr>
              <w:ind w:left="100"/>
              <w:rPr>
                <w:color w:val="222222"/>
                <w:sz w:val="20"/>
                <w:szCs w:val="20"/>
                <w:highlight w:val="white"/>
              </w:rPr>
            </w:pPr>
            <w:proofErr w:type="spellStart"/>
            <w:r>
              <w:rPr>
                <w:color w:val="222222"/>
                <w:sz w:val="20"/>
                <w:szCs w:val="20"/>
                <w:highlight w:val="white"/>
              </w:rPr>
              <w:t>Baiden</w:t>
            </w:r>
            <w:proofErr w:type="spellEnd"/>
            <w:r>
              <w:rPr>
                <w:color w:val="222222"/>
                <w:sz w:val="20"/>
                <w:szCs w:val="20"/>
                <w:highlight w:val="white"/>
              </w:rPr>
              <w:t xml:space="preserve">, P., </w:t>
            </w:r>
            <w:proofErr w:type="spellStart"/>
            <w:r>
              <w:rPr>
                <w:color w:val="222222"/>
                <w:sz w:val="20"/>
                <w:szCs w:val="20"/>
                <w:highlight w:val="white"/>
              </w:rPr>
              <w:t>Tadeo</w:t>
            </w:r>
            <w:proofErr w:type="spellEnd"/>
            <w:r>
              <w:rPr>
                <w:color w:val="222222"/>
                <w:sz w:val="20"/>
                <w:szCs w:val="20"/>
                <w:highlight w:val="white"/>
              </w:rPr>
              <w:t xml:space="preserve">, S. K., Graaf, G., &amp; </w:t>
            </w:r>
            <w:proofErr w:type="spellStart"/>
            <w:r>
              <w:rPr>
                <w:color w:val="222222"/>
                <w:sz w:val="20"/>
                <w:szCs w:val="20"/>
                <w:highlight w:val="white"/>
              </w:rPr>
              <w:t>Respress</w:t>
            </w:r>
            <w:proofErr w:type="spellEnd"/>
            <w:r>
              <w:rPr>
                <w:color w:val="222222"/>
                <w:sz w:val="20"/>
                <w:szCs w:val="20"/>
                <w:highlight w:val="white"/>
              </w:rPr>
              <w:t xml:space="preserve">, B. N. (2019). Examining the association between weapon carrying on school property and suicide attempt among adolescents in the United States. </w:t>
            </w:r>
            <w:r>
              <w:rPr>
                <w:i/>
                <w:color w:val="222222"/>
                <w:sz w:val="20"/>
                <w:szCs w:val="20"/>
                <w:highlight w:val="white"/>
              </w:rPr>
              <w:t>Social work in public health</w:t>
            </w:r>
            <w:r>
              <w:rPr>
                <w:color w:val="222222"/>
                <w:sz w:val="20"/>
                <w:szCs w:val="20"/>
                <w:highlight w:val="white"/>
              </w:rPr>
              <w:t xml:space="preserve">, </w:t>
            </w:r>
            <w:r>
              <w:rPr>
                <w:i/>
                <w:color w:val="222222"/>
                <w:sz w:val="20"/>
                <w:szCs w:val="20"/>
                <w:highlight w:val="white"/>
              </w:rPr>
              <w:t>34</w:t>
            </w:r>
            <w:r>
              <w:rPr>
                <w:color w:val="222222"/>
                <w:sz w:val="20"/>
                <w:szCs w:val="20"/>
                <w:highlight w:val="white"/>
              </w:rPr>
              <w:t>(7), 570-582.</w:t>
            </w:r>
          </w:p>
          <w:p w14:paraId="11C3AA18" w14:textId="77777777" w:rsidR="00710A82" w:rsidRDefault="002B1994">
            <w:pPr>
              <w:ind w:left="100"/>
              <w:rPr>
                <w:color w:val="222222"/>
                <w:sz w:val="20"/>
                <w:szCs w:val="20"/>
                <w:highlight w:val="white"/>
              </w:rPr>
            </w:pPr>
            <w:r>
              <w:rPr>
                <w:color w:val="222222"/>
                <w:sz w:val="20"/>
                <w:szCs w:val="20"/>
                <w:highlight w:val="white"/>
              </w:rPr>
              <w:t xml:space="preserve"> </w:t>
            </w:r>
          </w:p>
          <w:p w14:paraId="1A61183D" w14:textId="77777777" w:rsidR="00710A82" w:rsidRDefault="002B1994">
            <w:pPr>
              <w:ind w:left="100"/>
              <w:rPr>
                <w:color w:val="222222"/>
                <w:sz w:val="20"/>
                <w:szCs w:val="20"/>
                <w:highlight w:val="white"/>
              </w:rPr>
            </w:pPr>
            <w:r>
              <w:rPr>
                <w:color w:val="222222"/>
                <w:sz w:val="20"/>
                <w:szCs w:val="20"/>
                <w:highlight w:val="white"/>
              </w:rPr>
              <w:t>Centers for Disease Control and Prevention. (2020). Youth risk behavior survey: Data summary &amp; Trends Report 2009-2019.</w:t>
            </w:r>
          </w:p>
          <w:p w14:paraId="19EB9482" w14:textId="77777777" w:rsidR="00710A82" w:rsidRDefault="002B1994">
            <w:pPr>
              <w:ind w:left="100"/>
              <w:rPr>
                <w:color w:val="222222"/>
                <w:sz w:val="20"/>
                <w:szCs w:val="20"/>
                <w:highlight w:val="white"/>
              </w:rPr>
            </w:pPr>
            <w:r>
              <w:rPr>
                <w:color w:val="222222"/>
                <w:sz w:val="20"/>
                <w:szCs w:val="20"/>
                <w:highlight w:val="white"/>
              </w:rPr>
              <w:t xml:space="preserve"> </w:t>
            </w:r>
          </w:p>
          <w:p w14:paraId="7DAD097A" w14:textId="77777777" w:rsidR="00710A82" w:rsidRDefault="002B1994">
            <w:pPr>
              <w:ind w:left="100"/>
              <w:rPr>
                <w:color w:val="222222"/>
                <w:sz w:val="20"/>
                <w:szCs w:val="20"/>
                <w:highlight w:val="white"/>
              </w:rPr>
            </w:pPr>
            <w:r>
              <w:rPr>
                <w:color w:val="222222"/>
                <w:sz w:val="20"/>
                <w:szCs w:val="20"/>
                <w:highlight w:val="white"/>
              </w:rPr>
              <w:t xml:space="preserve">Kirby, K., Sweeney, S., </w:t>
            </w:r>
            <w:proofErr w:type="spellStart"/>
            <w:r>
              <w:rPr>
                <w:color w:val="222222"/>
                <w:sz w:val="20"/>
                <w:szCs w:val="20"/>
                <w:highlight w:val="white"/>
              </w:rPr>
              <w:t>Armour</w:t>
            </w:r>
            <w:proofErr w:type="spellEnd"/>
            <w:r>
              <w:rPr>
                <w:color w:val="222222"/>
                <w:sz w:val="20"/>
                <w:szCs w:val="20"/>
                <w:highlight w:val="white"/>
              </w:rPr>
              <w:t xml:space="preserve">, C., </w:t>
            </w:r>
            <w:proofErr w:type="spellStart"/>
            <w:r>
              <w:rPr>
                <w:color w:val="222222"/>
                <w:sz w:val="20"/>
                <w:szCs w:val="20"/>
                <w:highlight w:val="white"/>
              </w:rPr>
              <w:t>Goetzke</w:t>
            </w:r>
            <w:proofErr w:type="spellEnd"/>
            <w:r>
              <w:rPr>
                <w:color w:val="222222"/>
                <w:sz w:val="20"/>
                <w:szCs w:val="20"/>
                <w:highlight w:val="white"/>
              </w:rPr>
              <w:t xml:space="preserve">, K., Dunne, M., Davidson, M., &amp; </w:t>
            </w:r>
            <w:proofErr w:type="spellStart"/>
            <w:r>
              <w:rPr>
                <w:color w:val="222222"/>
                <w:sz w:val="20"/>
                <w:szCs w:val="20"/>
                <w:highlight w:val="white"/>
              </w:rPr>
              <w:t>Belfer</w:t>
            </w:r>
            <w:proofErr w:type="spellEnd"/>
            <w:r>
              <w:rPr>
                <w:color w:val="222222"/>
                <w:sz w:val="20"/>
                <w:szCs w:val="20"/>
                <w:highlight w:val="white"/>
              </w:rPr>
              <w:t xml:space="preserve">, M. (2021). Developing Hopeful Minds: Can Teaching </w:t>
            </w:r>
            <w:r>
              <w:rPr>
                <w:color w:val="222222"/>
                <w:sz w:val="20"/>
                <w:szCs w:val="20"/>
                <w:highlight w:val="white"/>
              </w:rPr>
              <w:t xml:space="preserve">Hope Improve Well-being and Protective Factors in </w:t>
            </w:r>
            <w:proofErr w:type="gramStart"/>
            <w:r>
              <w:rPr>
                <w:color w:val="222222"/>
                <w:sz w:val="20"/>
                <w:szCs w:val="20"/>
                <w:highlight w:val="white"/>
              </w:rPr>
              <w:t>Children?.</w:t>
            </w:r>
            <w:proofErr w:type="gramEnd"/>
            <w:r>
              <w:rPr>
                <w:color w:val="222222"/>
                <w:sz w:val="20"/>
                <w:szCs w:val="20"/>
                <w:highlight w:val="white"/>
              </w:rPr>
              <w:t xml:space="preserve"> </w:t>
            </w:r>
            <w:r>
              <w:rPr>
                <w:i/>
                <w:color w:val="222222"/>
                <w:sz w:val="20"/>
                <w:szCs w:val="20"/>
                <w:highlight w:val="white"/>
              </w:rPr>
              <w:t>Child Care in Practice</w:t>
            </w:r>
            <w:r>
              <w:rPr>
                <w:color w:val="222222"/>
                <w:sz w:val="20"/>
                <w:szCs w:val="20"/>
                <w:highlight w:val="white"/>
              </w:rPr>
              <w:t>, 1-18.</w:t>
            </w:r>
          </w:p>
          <w:p w14:paraId="72518DBF" w14:textId="77777777" w:rsidR="00710A82" w:rsidRDefault="002B1994">
            <w:pPr>
              <w:ind w:left="100"/>
              <w:rPr>
                <w:color w:val="222222"/>
                <w:sz w:val="20"/>
                <w:szCs w:val="20"/>
                <w:highlight w:val="white"/>
              </w:rPr>
            </w:pPr>
            <w:r>
              <w:rPr>
                <w:color w:val="222222"/>
                <w:sz w:val="20"/>
                <w:szCs w:val="20"/>
                <w:highlight w:val="white"/>
              </w:rPr>
              <w:t xml:space="preserve"> </w:t>
            </w:r>
          </w:p>
          <w:p w14:paraId="3DB7BF1D" w14:textId="77777777" w:rsidR="00710A82" w:rsidRDefault="002B1994">
            <w:pPr>
              <w:ind w:left="100"/>
              <w:rPr>
                <w:color w:val="222222"/>
                <w:sz w:val="20"/>
                <w:szCs w:val="20"/>
                <w:highlight w:val="white"/>
              </w:rPr>
            </w:pPr>
            <w:proofErr w:type="spellStart"/>
            <w:r>
              <w:rPr>
                <w:color w:val="222222"/>
                <w:sz w:val="20"/>
                <w:szCs w:val="20"/>
                <w:highlight w:val="white"/>
              </w:rPr>
              <w:t>Sickel</w:t>
            </w:r>
            <w:proofErr w:type="spellEnd"/>
            <w:r>
              <w:rPr>
                <w:color w:val="222222"/>
                <w:sz w:val="20"/>
                <w:szCs w:val="20"/>
                <w:highlight w:val="white"/>
              </w:rPr>
              <w:t xml:space="preserve">, A. E., </w:t>
            </w:r>
            <w:proofErr w:type="spellStart"/>
            <w:r>
              <w:rPr>
                <w:color w:val="222222"/>
                <w:sz w:val="20"/>
                <w:szCs w:val="20"/>
                <w:highlight w:val="white"/>
              </w:rPr>
              <w:t>Seacat</w:t>
            </w:r>
            <w:proofErr w:type="spellEnd"/>
            <w:r>
              <w:rPr>
                <w:color w:val="222222"/>
                <w:sz w:val="20"/>
                <w:szCs w:val="20"/>
                <w:highlight w:val="white"/>
              </w:rPr>
              <w:t xml:space="preserve">, J. D., &amp; Nabors, N. A. (2019). Mental health stigma: Impact on mental health treatment attitudes and physical health. </w:t>
            </w:r>
            <w:r>
              <w:rPr>
                <w:i/>
                <w:color w:val="222222"/>
                <w:sz w:val="20"/>
                <w:szCs w:val="20"/>
                <w:highlight w:val="white"/>
              </w:rPr>
              <w:t>Journal of health psyc</w:t>
            </w:r>
            <w:r>
              <w:rPr>
                <w:i/>
                <w:color w:val="222222"/>
                <w:sz w:val="20"/>
                <w:szCs w:val="20"/>
                <w:highlight w:val="white"/>
              </w:rPr>
              <w:t>hology</w:t>
            </w:r>
            <w:r>
              <w:rPr>
                <w:color w:val="222222"/>
                <w:sz w:val="20"/>
                <w:szCs w:val="20"/>
                <w:highlight w:val="white"/>
              </w:rPr>
              <w:t xml:space="preserve">, </w:t>
            </w:r>
            <w:r>
              <w:rPr>
                <w:i/>
                <w:color w:val="222222"/>
                <w:sz w:val="20"/>
                <w:szCs w:val="20"/>
                <w:highlight w:val="white"/>
              </w:rPr>
              <w:t>24</w:t>
            </w:r>
            <w:r>
              <w:rPr>
                <w:color w:val="222222"/>
                <w:sz w:val="20"/>
                <w:szCs w:val="20"/>
                <w:highlight w:val="white"/>
              </w:rPr>
              <w:t>(5), 586-599.</w:t>
            </w:r>
          </w:p>
          <w:p w14:paraId="4D2B9693" w14:textId="77777777" w:rsidR="00710A82" w:rsidRDefault="002B1994">
            <w:pPr>
              <w:ind w:left="100"/>
              <w:rPr>
                <w:color w:val="222222"/>
                <w:sz w:val="20"/>
                <w:szCs w:val="20"/>
                <w:highlight w:val="white"/>
              </w:rPr>
            </w:pPr>
            <w:r>
              <w:rPr>
                <w:color w:val="222222"/>
                <w:sz w:val="20"/>
                <w:szCs w:val="20"/>
                <w:highlight w:val="white"/>
              </w:rPr>
              <w:t xml:space="preserve"> </w:t>
            </w:r>
          </w:p>
          <w:p w14:paraId="1C3C537B" w14:textId="77777777" w:rsidR="00710A82" w:rsidRDefault="002B1994">
            <w:pPr>
              <w:ind w:left="100"/>
              <w:rPr>
                <w:color w:val="222222"/>
                <w:sz w:val="20"/>
                <w:szCs w:val="20"/>
                <w:highlight w:val="white"/>
              </w:rPr>
            </w:pPr>
            <w:r>
              <w:rPr>
                <w:color w:val="222222"/>
                <w:sz w:val="20"/>
                <w:szCs w:val="20"/>
              </w:rPr>
              <w:t>Weisz, J. R.</w:t>
            </w:r>
            <w:r>
              <w:rPr>
                <w:color w:val="222222"/>
                <w:sz w:val="20"/>
                <w:szCs w:val="20"/>
                <w:highlight w:val="white"/>
              </w:rPr>
              <w:t xml:space="preserve">, </w:t>
            </w:r>
            <w:r>
              <w:rPr>
                <w:color w:val="222222"/>
                <w:sz w:val="20"/>
                <w:szCs w:val="20"/>
              </w:rPr>
              <w:t>Sandler, I. N.</w:t>
            </w:r>
            <w:r>
              <w:rPr>
                <w:color w:val="222222"/>
                <w:sz w:val="20"/>
                <w:szCs w:val="20"/>
                <w:highlight w:val="white"/>
              </w:rPr>
              <w:t xml:space="preserve">, </w:t>
            </w:r>
            <w:proofErr w:type="spellStart"/>
            <w:r>
              <w:rPr>
                <w:color w:val="222222"/>
                <w:sz w:val="20"/>
                <w:szCs w:val="20"/>
              </w:rPr>
              <w:t>Durlak</w:t>
            </w:r>
            <w:proofErr w:type="spellEnd"/>
            <w:r>
              <w:rPr>
                <w:color w:val="222222"/>
                <w:sz w:val="20"/>
                <w:szCs w:val="20"/>
              </w:rPr>
              <w:t>, J. A.</w:t>
            </w:r>
            <w:r>
              <w:rPr>
                <w:color w:val="222222"/>
                <w:sz w:val="20"/>
                <w:szCs w:val="20"/>
                <w:highlight w:val="white"/>
              </w:rPr>
              <w:t xml:space="preserve">, &amp; </w:t>
            </w:r>
            <w:r>
              <w:rPr>
                <w:color w:val="222222"/>
                <w:sz w:val="20"/>
                <w:szCs w:val="20"/>
              </w:rPr>
              <w:t>Anton, B. S.</w:t>
            </w:r>
            <w:r>
              <w:rPr>
                <w:color w:val="222222"/>
                <w:sz w:val="20"/>
                <w:szCs w:val="20"/>
                <w:highlight w:val="white"/>
              </w:rPr>
              <w:t xml:space="preserve"> (</w:t>
            </w:r>
            <w:r>
              <w:rPr>
                <w:color w:val="222222"/>
                <w:sz w:val="20"/>
                <w:szCs w:val="20"/>
              </w:rPr>
              <w:t>2005</w:t>
            </w:r>
            <w:r>
              <w:rPr>
                <w:color w:val="222222"/>
                <w:sz w:val="20"/>
                <w:szCs w:val="20"/>
                <w:highlight w:val="white"/>
              </w:rPr>
              <w:t xml:space="preserve">). </w:t>
            </w:r>
            <w:r>
              <w:rPr>
                <w:color w:val="222222"/>
                <w:sz w:val="20"/>
                <w:szCs w:val="20"/>
              </w:rPr>
              <w:t>Promoting and protecting youth mental health through evidence-based prevention and treatment</w:t>
            </w:r>
            <w:r>
              <w:rPr>
                <w:color w:val="222222"/>
                <w:sz w:val="20"/>
                <w:szCs w:val="20"/>
                <w:highlight w:val="white"/>
              </w:rPr>
              <w:t xml:space="preserve">. American Psychologist, 60(6), </w:t>
            </w:r>
            <w:r>
              <w:rPr>
                <w:color w:val="222222"/>
                <w:sz w:val="20"/>
                <w:szCs w:val="20"/>
              </w:rPr>
              <w:t>628</w:t>
            </w:r>
            <w:r>
              <w:rPr>
                <w:color w:val="222222"/>
                <w:sz w:val="20"/>
                <w:szCs w:val="20"/>
                <w:highlight w:val="white"/>
              </w:rPr>
              <w:t>.</w:t>
            </w:r>
          </w:p>
          <w:p w14:paraId="515B5380" w14:textId="77777777" w:rsidR="00710A82" w:rsidRDefault="002B1994">
            <w:pPr>
              <w:ind w:left="100"/>
              <w:rPr>
                <w:color w:val="222222"/>
                <w:sz w:val="20"/>
                <w:szCs w:val="20"/>
                <w:highlight w:val="white"/>
              </w:rPr>
            </w:pPr>
            <w:r>
              <w:rPr>
                <w:color w:val="222222"/>
                <w:sz w:val="20"/>
                <w:szCs w:val="20"/>
                <w:highlight w:val="white"/>
              </w:rPr>
              <w:t xml:space="preserve"> </w:t>
            </w:r>
          </w:p>
        </w:tc>
      </w:tr>
    </w:tbl>
    <w:p w14:paraId="701057F9" w14:textId="77777777" w:rsidR="00710A82" w:rsidRDefault="002B1994">
      <w:pPr>
        <w:spacing w:after="160" w:line="256" w:lineRule="auto"/>
        <w:rPr>
          <w:rFonts w:ascii="Calibri" w:eastAsia="Calibri" w:hAnsi="Calibri" w:cs="Calibri"/>
        </w:rPr>
      </w:pPr>
      <w:r>
        <w:rPr>
          <w:rFonts w:ascii="Calibri" w:eastAsia="Calibri" w:hAnsi="Calibri" w:cs="Calibri"/>
        </w:rPr>
        <w:t xml:space="preserve"> </w:t>
      </w:r>
    </w:p>
    <w:p w14:paraId="3E0BED62" w14:textId="77777777" w:rsidR="00710A82" w:rsidRDefault="00710A82"/>
    <w:sectPr w:rsidR="00710A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A6D"/>
    <w:multiLevelType w:val="multilevel"/>
    <w:tmpl w:val="4CBAF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82"/>
    <w:rsid w:val="002B1994"/>
    <w:rsid w:val="0071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9CCA"/>
  <w15:docId w15:val="{6215FD41-A66A-4CFD-BED3-0B80F18ED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dc:creator>
  <cp:lastModifiedBy>Lucja Kolkiewicz</cp:lastModifiedBy>
  <cp:revision>2</cp:revision>
  <dcterms:created xsi:type="dcterms:W3CDTF">2022-03-25T09:57:00Z</dcterms:created>
  <dcterms:modified xsi:type="dcterms:W3CDTF">2022-03-25T09:57:00Z</dcterms:modified>
</cp:coreProperties>
</file>